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宋体" w:eastAsia="仿宋_GB2312" w:cs="宋体"/>
          <w:kern w:val="0"/>
          <w:sz w:val="30"/>
          <w:szCs w:val="30"/>
        </w:rPr>
      </w:pPr>
      <w:r>
        <w:rPr>
          <w:rFonts w:hint="eastAsia" w:ascii="仿宋_GB2312" w:hAnsi="宋体" w:eastAsia="仿宋_GB2312" w:cs="宋体"/>
          <w:kern w:val="0"/>
          <w:sz w:val="30"/>
          <w:szCs w:val="30"/>
        </w:rPr>
        <w:t>附件2：</w:t>
      </w:r>
    </w:p>
    <w:p>
      <w:pPr>
        <w:pStyle w:val="2"/>
        <w:spacing w:before="0" w:beforeAutospacing="0" w:after="0" w:afterAutospacing="0"/>
        <w:jc w:val="center"/>
        <w:rPr>
          <w:rFonts w:ascii="黑体" w:eastAsia="黑体"/>
          <w:sz w:val="36"/>
          <w:szCs w:val="36"/>
        </w:rPr>
      </w:pPr>
      <w:r>
        <w:rPr>
          <w:rFonts w:hint="eastAsia" w:ascii="黑体" w:eastAsia="黑体"/>
          <w:sz w:val="36"/>
          <w:szCs w:val="36"/>
        </w:rPr>
        <w:t>慈溪市人力资源和社会保障局所属事业单位公开招聘编外工作人员招聘计划表</w:t>
      </w:r>
    </w:p>
    <w:tbl>
      <w:tblPr>
        <w:tblStyle w:val="3"/>
        <w:tblpPr w:leftFromText="180" w:rightFromText="180" w:vertAnchor="text" w:horzAnchor="page" w:tblpX="1138" w:tblpY="466"/>
        <w:tblOverlap w:val="never"/>
        <w:tblW w:w="93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0"/>
        <w:gridCol w:w="1260"/>
        <w:gridCol w:w="1433"/>
        <w:gridCol w:w="1701"/>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trPr>
        <w:tc>
          <w:tcPr>
            <w:tcW w:w="1810" w:type="dxa"/>
            <w:vAlign w:val="center"/>
          </w:tcPr>
          <w:p>
            <w:pPr>
              <w:widowControl/>
              <w:tabs>
                <w:tab w:val="left" w:pos="435"/>
              </w:tabs>
              <w:jc w:val="center"/>
              <w:rPr>
                <w:rFonts w:ascii="黑体" w:hAnsi="黑体" w:eastAsia="黑体" w:cs="Times New Roman"/>
                <w:color w:val="2B2B2B"/>
                <w:sz w:val="24"/>
                <w:szCs w:val="24"/>
              </w:rPr>
            </w:pPr>
            <w:r>
              <w:rPr>
                <w:rFonts w:hint="eastAsia" w:ascii="黑体" w:hAnsi="黑体" w:eastAsia="黑体" w:cs="黑体"/>
                <w:color w:val="2B2B2B"/>
                <w:sz w:val="24"/>
                <w:szCs w:val="24"/>
              </w:rPr>
              <w:t>职位名称</w:t>
            </w:r>
          </w:p>
        </w:tc>
        <w:tc>
          <w:tcPr>
            <w:tcW w:w="1260" w:type="dxa"/>
            <w:vAlign w:val="center"/>
          </w:tcPr>
          <w:p>
            <w:pPr>
              <w:widowControl/>
              <w:tabs>
                <w:tab w:val="left" w:pos="435"/>
              </w:tabs>
              <w:jc w:val="center"/>
              <w:rPr>
                <w:rFonts w:ascii="黑体" w:hAnsi="黑体" w:eastAsia="黑体" w:cs="Times New Roman"/>
                <w:color w:val="2B2B2B"/>
                <w:sz w:val="24"/>
                <w:szCs w:val="24"/>
              </w:rPr>
            </w:pPr>
            <w:r>
              <w:rPr>
                <w:rFonts w:hint="eastAsia" w:ascii="黑体" w:hAnsi="黑体" w:eastAsia="黑体" w:cs="黑体"/>
                <w:color w:val="2B2B2B"/>
                <w:sz w:val="24"/>
                <w:szCs w:val="24"/>
              </w:rPr>
              <w:t>招考人数</w:t>
            </w:r>
          </w:p>
        </w:tc>
        <w:tc>
          <w:tcPr>
            <w:tcW w:w="1433" w:type="dxa"/>
            <w:vAlign w:val="center"/>
          </w:tcPr>
          <w:p>
            <w:pPr>
              <w:widowControl/>
              <w:tabs>
                <w:tab w:val="left" w:pos="435"/>
              </w:tabs>
              <w:jc w:val="center"/>
              <w:rPr>
                <w:rFonts w:ascii="黑体" w:hAnsi="黑体" w:eastAsia="黑体" w:cs="Times New Roman"/>
                <w:color w:val="2B2B2B"/>
                <w:sz w:val="24"/>
                <w:szCs w:val="24"/>
              </w:rPr>
            </w:pPr>
            <w:r>
              <w:rPr>
                <w:rFonts w:hint="eastAsia" w:ascii="黑体" w:hAnsi="黑体" w:eastAsia="黑体" w:cs="黑体"/>
                <w:color w:val="2B2B2B"/>
                <w:sz w:val="24"/>
                <w:szCs w:val="24"/>
              </w:rPr>
              <w:t>学历</w:t>
            </w:r>
          </w:p>
        </w:tc>
        <w:tc>
          <w:tcPr>
            <w:tcW w:w="1701" w:type="dxa"/>
            <w:vAlign w:val="center"/>
          </w:tcPr>
          <w:p>
            <w:pPr>
              <w:widowControl/>
              <w:tabs>
                <w:tab w:val="left" w:pos="435"/>
              </w:tabs>
              <w:jc w:val="center"/>
              <w:rPr>
                <w:rFonts w:ascii="黑体" w:hAnsi="黑体" w:eastAsia="黑体" w:cs="Times New Roman"/>
                <w:color w:val="2B2B2B"/>
                <w:sz w:val="24"/>
                <w:szCs w:val="24"/>
              </w:rPr>
            </w:pPr>
            <w:r>
              <w:rPr>
                <w:rFonts w:hint="eastAsia" w:ascii="黑体" w:hAnsi="黑体" w:eastAsia="黑体" w:cs="黑体"/>
                <w:color w:val="2B2B2B"/>
                <w:sz w:val="24"/>
                <w:szCs w:val="24"/>
              </w:rPr>
              <w:t>年龄</w:t>
            </w:r>
          </w:p>
        </w:tc>
        <w:tc>
          <w:tcPr>
            <w:tcW w:w="3169" w:type="dxa"/>
            <w:vAlign w:val="center"/>
          </w:tcPr>
          <w:p>
            <w:pPr>
              <w:widowControl/>
              <w:tabs>
                <w:tab w:val="left" w:pos="435"/>
              </w:tabs>
              <w:jc w:val="center"/>
              <w:rPr>
                <w:rFonts w:ascii="黑体" w:hAnsi="黑体" w:eastAsia="黑体" w:cs="Times New Roman"/>
                <w:color w:val="2B2B2B"/>
                <w:sz w:val="24"/>
                <w:szCs w:val="24"/>
              </w:rPr>
            </w:pPr>
            <w:r>
              <w:rPr>
                <w:rFonts w:hint="eastAsia" w:ascii="黑体" w:hAnsi="黑体" w:eastAsia="黑体" w:cs="黑体"/>
                <w:color w:val="2B2B2B"/>
                <w:sz w:val="24"/>
                <w:szCs w:val="24"/>
              </w:rPr>
              <w:t>所学专业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3" w:hRule="atLeast"/>
        </w:trPr>
        <w:tc>
          <w:tcPr>
            <w:tcW w:w="1810" w:type="dxa"/>
            <w:vAlign w:val="center"/>
          </w:tcPr>
          <w:p>
            <w:pPr>
              <w:widowControl/>
              <w:tabs>
                <w:tab w:val="left" w:pos="435"/>
              </w:tabs>
              <w:jc w:val="center"/>
              <w:rPr>
                <w:rFonts w:ascii="仿宋" w:hAnsi="仿宋" w:eastAsia="仿宋" w:cs="Times New Roman"/>
                <w:color w:val="2B2B2B"/>
                <w:sz w:val="24"/>
                <w:szCs w:val="24"/>
              </w:rPr>
            </w:pPr>
            <w:r>
              <w:rPr>
                <w:rFonts w:hint="eastAsia" w:ascii="仿宋" w:hAnsi="仿宋" w:eastAsia="仿宋" w:cs="Times New Roman"/>
                <w:color w:val="2B2B2B"/>
                <w:sz w:val="24"/>
                <w:szCs w:val="24"/>
              </w:rPr>
              <w:t>机关辅助岗位（1）</w:t>
            </w:r>
          </w:p>
        </w:tc>
        <w:tc>
          <w:tcPr>
            <w:tcW w:w="1260" w:type="dxa"/>
            <w:vAlign w:val="center"/>
          </w:tcPr>
          <w:p>
            <w:pPr>
              <w:widowControl/>
              <w:tabs>
                <w:tab w:val="left" w:pos="435"/>
              </w:tabs>
              <w:jc w:val="center"/>
              <w:rPr>
                <w:rFonts w:ascii="仿宋" w:hAnsi="仿宋" w:eastAsia="仿宋" w:cs="仿宋"/>
                <w:color w:val="2B2B2B"/>
                <w:sz w:val="24"/>
                <w:szCs w:val="24"/>
              </w:rPr>
            </w:pPr>
            <w:r>
              <w:rPr>
                <w:rFonts w:ascii="仿宋" w:hAnsi="仿宋" w:eastAsia="仿宋" w:cs="仿宋"/>
                <w:color w:val="2B2B2B"/>
                <w:sz w:val="24"/>
                <w:szCs w:val="24"/>
              </w:rPr>
              <w:t>1</w:t>
            </w:r>
            <w:r>
              <w:rPr>
                <w:rFonts w:hint="eastAsia" w:ascii="仿宋" w:hAnsi="仿宋" w:eastAsia="仿宋" w:cs="仿宋"/>
                <w:color w:val="2B2B2B"/>
                <w:sz w:val="24"/>
                <w:szCs w:val="24"/>
              </w:rPr>
              <w:t>人</w:t>
            </w:r>
          </w:p>
          <w:p>
            <w:pPr>
              <w:widowControl/>
              <w:tabs>
                <w:tab w:val="left" w:pos="435"/>
              </w:tabs>
              <w:jc w:val="center"/>
              <w:rPr>
                <w:rFonts w:ascii="仿宋" w:hAnsi="仿宋" w:eastAsia="仿宋" w:cs="Times New Roman"/>
                <w:color w:val="2B2B2B"/>
                <w:sz w:val="24"/>
                <w:szCs w:val="24"/>
              </w:rPr>
            </w:pPr>
          </w:p>
        </w:tc>
        <w:tc>
          <w:tcPr>
            <w:tcW w:w="1433" w:type="dxa"/>
            <w:vAlign w:val="center"/>
          </w:tcPr>
          <w:p>
            <w:pPr>
              <w:widowControl/>
              <w:tabs>
                <w:tab w:val="left" w:pos="435"/>
              </w:tabs>
              <w:jc w:val="center"/>
              <w:rPr>
                <w:rFonts w:ascii="仿宋" w:hAnsi="仿宋" w:eastAsia="仿宋" w:cs="Times New Roman"/>
                <w:color w:val="2B2B2B"/>
                <w:sz w:val="24"/>
                <w:szCs w:val="24"/>
              </w:rPr>
            </w:pPr>
            <w:r>
              <w:rPr>
                <w:rFonts w:hint="eastAsia" w:ascii="仿宋" w:hAnsi="仿宋" w:eastAsia="仿宋" w:cs="Times New Roman"/>
                <w:color w:val="2B2B2B"/>
                <w:sz w:val="24"/>
                <w:szCs w:val="24"/>
              </w:rPr>
              <w:t>大专及以上</w:t>
            </w:r>
          </w:p>
        </w:tc>
        <w:tc>
          <w:tcPr>
            <w:tcW w:w="1701" w:type="dxa"/>
            <w:vAlign w:val="center"/>
          </w:tcPr>
          <w:p>
            <w:pPr>
              <w:widowControl/>
              <w:tabs>
                <w:tab w:val="left" w:pos="435"/>
              </w:tabs>
              <w:jc w:val="center"/>
              <w:rPr>
                <w:rFonts w:ascii="仿宋" w:hAnsi="仿宋" w:eastAsia="仿宋" w:cs="Times New Roman"/>
                <w:sz w:val="24"/>
                <w:szCs w:val="24"/>
              </w:rPr>
            </w:pPr>
            <w:r>
              <w:rPr>
                <w:rFonts w:ascii="仿宋" w:hAnsi="仿宋" w:eastAsia="仿宋" w:cs="仿宋"/>
                <w:sz w:val="24"/>
                <w:szCs w:val="24"/>
              </w:rPr>
              <w:t>35</w:t>
            </w:r>
            <w:r>
              <w:rPr>
                <w:rFonts w:hint="eastAsia" w:ascii="仿宋" w:hAnsi="仿宋" w:eastAsia="仿宋" w:cs="仿宋"/>
                <w:sz w:val="24"/>
                <w:szCs w:val="24"/>
              </w:rPr>
              <w:t>周岁以下</w:t>
            </w:r>
          </w:p>
        </w:tc>
        <w:tc>
          <w:tcPr>
            <w:tcW w:w="3169" w:type="dxa"/>
            <w:vAlign w:val="center"/>
          </w:tcPr>
          <w:p>
            <w:pPr>
              <w:spacing w:line="360" w:lineRule="exact"/>
              <w:rPr>
                <w:rFonts w:ascii="仿宋" w:hAnsi="仿宋" w:eastAsia="仿宋" w:cs="Times New Roman"/>
                <w:sz w:val="24"/>
                <w:szCs w:val="24"/>
              </w:rPr>
            </w:pPr>
            <w:r>
              <w:rPr>
                <w:rFonts w:hint="eastAsia" w:ascii="仿宋" w:hAnsi="仿宋" w:eastAsia="仿宋" w:cs="Times New Roman"/>
                <w:sz w:val="24"/>
                <w:szCs w:val="24"/>
              </w:rPr>
              <w:t>会计、财务管理、财会、财务会计、会计学、审计、审计学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3" w:hRule="atLeast"/>
        </w:trPr>
        <w:tc>
          <w:tcPr>
            <w:tcW w:w="1810" w:type="dxa"/>
            <w:vAlign w:val="center"/>
          </w:tcPr>
          <w:p>
            <w:pPr>
              <w:widowControl/>
              <w:tabs>
                <w:tab w:val="left" w:pos="435"/>
              </w:tabs>
              <w:jc w:val="center"/>
              <w:rPr>
                <w:rFonts w:ascii="仿宋" w:hAnsi="仿宋" w:eastAsia="仿宋" w:cs="Times New Roman"/>
                <w:color w:val="2B2B2B"/>
                <w:sz w:val="24"/>
                <w:szCs w:val="24"/>
              </w:rPr>
            </w:pPr>
            <w:r>
              <w:rPr>
                <w:rFonts w:hint="eastAsia" w:ascii="仿宋" w:hAnsi="仿宋" w:eastAsia="仿宋" w:cs="Times New Roman"/>
                <w:color w:val="2B2B2B"/>
                <w:sz w:val="24"/>
                <w:szCs w:val="24"/>
              </w:rPr>
              <w:t>机关辅助岗位（2）</w:t>
            </w:r>
          </w:p>
        </w:tc>
        <w:tc>
          <w:tcPr>
            <w:tcW w:w="1260" w:type="dxa"/>
            <w:vAlign w:val="center"/>
          </w:tcPr>
          <w:p>
            <w:pPr>
              <w:widowControl/>
              <w:tabs>
                <w:tab w:val="left" w:pos="435"/>
              </w:tabs>
              <w:jc w:val="center"/>
              <w:rPr>
                <w:rFonts w:ascii="仿宋" w:hAnsi="仿宋" w:eastAsia="仿宋" w:cs="Times New Roman"/>
                <w:color w:val="2B2B2B"/>
                <w:sz w:val="24"/>
                <w:szCs w:val="24"/>
              </w:rPr>
            </w:pPr>
            <w:r>
              <w:rPr>
                <w:rFonts w:ascii="仿宋" w:hAnsi="仿宋" w:eastAsia="仿宋" w:cs="仿宋"/>
                <w:color w:val="2B2B2B"/>
                <w:sz w:val="24"/>
                <w:szCs w:val="24"/>
              </w:rPr>
              <w:t>1</w:t>
            </w:r>
            <w:r>
              <w:rPr>
                <w:rFonts w:hint="eastAsia" w:ascii="仿宋" w:hAnsi="仿宋" w:eastAsia="仿宋" w:cs="仿宋"/>
                <w:color w:val="2B2B2B"/>
                <w:sz w:val="24"/>
                <w:szCs w:val="24"/>
              </w:rPr>
              <w:t>人</w:t>
            </w:r>
          </w:p>
        </w:tc>
        <w:tc>
          <w:tcPr>
            <w:tcW w:w="1433" w:type="dxa"/>
            <w:vAlign w:val="center"/>
          </w:tcPr>
          <w:p>
            <w:pPr>
              <w:widowControl/>
              <w:tabs>
                <w:tab w:val="left" w:pos="435"/>
              </w:tabs>
              <w:jc w:val="center"/>
              <w:rPr>
                <w:rFonts w:ascii="仿宋" w:hAnsi="仿宋" w:eastAsia="仿宋" w:cs="Times New Roman"/>
                <w:color w:val="2B2B2B"/>
                <w:sz w:val="24"/>
                <w:szCs w:val="24"/>
              </w:rPr>
            </w:pPr>
            <w:r>
              <w:rPr>
                <w:rFonts w:hint="eastAsia" w:ascii="仿宋" w:hAnsi="仿宋" w:eastAsia="仿宋" w:cs="Times New Roman"/>
                <w:color w:val="2B2B2B"/>
                <w:sz w:val="24"/>
                <w:szCs w:val="24"/>
              </w:rPr>
              <w:t>大专及以上</w:t>
            </w:r>
          </w:p>
        </w:tc>
        <w:tc>
          <w:tcPr>
            <w:tcW w:w="1701" w:type="dxa"/>
            <w:vAlign w:val="center"/>
          </w:tcPr>
          <w:p>
            <w:pPr>
              <w:widowControl/>
              <w:tabs>
                <w:tab w:val="left" w:pos="435"/>
              </w:tabs>
              <w:jc w:val="center"/>
              <w:rPr>
                <w:rFonts w:ascii="仿宋" w:hAnsi="仿宋" w:eastAsia="仿宋" w:cs="Times New Roman"/>
                <w:sz w:val="24"/>
                <w:szCs w:val="24"/>
              </w:rPr>
            </w:pPr>
            <w:r>
              <w:rPr>
                <w:rFonts w:ascii="仿宋" w:hAnsi="仿宋" w:eastAsia="仿宋" w:cs="仿宋"/>
                <w:sz w:val="24"/>
                <w:szCs w:val="24"/>
              </w:rPr>
              <w:t>35</w:t>
            </w:r>
            <w:r>
              <w:rPr>
                <w:rFonts w:hint="eastAsia" w:ascii="仿宋" w:hAnsi="仿宋" w:eastAsia="仿宋" w:cs="仿宋"/>
                <w:sz w:val="24"/>
                <w:szCs w:val="24"/>
              </w:rPr>
              <w:t>周岁以下</w:t>
            </w:r>
          </w:p>
        </w:tc>
        <w:tc>
          <w:tcPr>
            <w:tcW w:w="3169" w:type="dxa"/>
            <w:vAlign w:val="center"/>
          </w:tcPr>
          <w:p>
            <w:pPr>
              <w:spacing w:line="360" w:lineRule="exact"/>
              <w:rPr>
                <w:rFonts w:ascii="仿宋" w:hAnsi="仿宋" w:eastAsia="仿宋" w:cs="Times New Roman"/>
                <w:sz w:val="24"/>
                <w:szCs w:val="24"/>
              </w:rPr>
            </w:pPr>
            <w:r>
              <w:rPr>
                <w:rFonts w:hint="eastAsia" w:ascii="仿宋" w:hAnsi="仿宋" w:eastAsia="仿宋" w:cs="Times New Roman"/>
                <w:sz w:val="24"/>
                <w:szCs w:val="24"/>
              </w:rPr>
              <w:t>基础医学、</w:t>
            </w:r>
            <w:r>
              <w:fldChar w:fldCharType="begin"/>
            </w:r>
            <w:r>
              <w:instrText xml:space="preserve"> HYPERLINK "https://www.baidu.com/s?wd=%E4%B8%B4%E5%BA%8A%E5%8C%BB%E5%AD%A6&amp;tn=SE_PcZhidaonwhc_ngpagmjz&amp;rsv_dl=gh_pc_zhidao" \t "_blank" </w:instrText>
            </w:r>
            <w:r>
              <w:fldChar w:fldCharType="separate"/>
            </w:r>
            <w:r>
              <w:rPr>
                <w:rFonts w:hint="eastAsia" w:ascii="仿宋" w:hAnsi="仿宋" w:eastAsia="仿宋" w:cs="Times New Roman"/>
                <w:sz w:val="24"/>
                <w:szCs w:val="24"/>
              </w:rPr>
              <w:t>临床医学</w:t>
            </w:r>
            <w:r>
              <w:rPr>
                <w:rFonts w:hint="eastAsia" w:ascii="仿宋" w:hAnsi="仿宋" w:eastAsia="仿宋" w:cs="Times New Roman"/>
                <w:sz w:val="24"/>
                <w:szCs w:val="24"/>
              </w:rPr>
              <w:fldChar w:fldCharType="end"/>
            </w:r>
            <w:r>
              <w:rPr>
                <w:rFonts w:hint="eastAsia" w:ascii="仿宋" w:hAnsi="仿宋" w:eastAsia="仿宋" w:cs="Times New Roman"/>
                <w:sz w:val="24"/>
                <w:szCs w:val="24"/>
              </w:rPr>
              <w:t>、中医学、中西医临床医学、药物制剂、麻醉学、</w:t>
            </w:r>
            <w:r>
              <w:fldChar w:fldCharType="begin"/>
            </w:r>
            <w:r>
              <w:instrText xml:space="preserve"> HYPERLINK "https://www.baidu.com/s?wd=%E5%8C%BB%E5%AD%A6%E5%BD%B1%E5%83%8F%E5%AD%A6&amp;tn=SE_PcZhidaonwhc_ngpagmjz&amp;rsv_dl=gh_pc_zhidao" \t "_blank" </w:instrText>
            </w:r>
            <w:r>
              <w:fldChar w:fldCharType="separate"/>
            </w:r>
            <w:r>
              <w:rPr>
                <w:rFonts w:hint="eastAsia" w:ascii="仿宋" w:hAnsi="仿宋" w:eastAsia="仿宋" w:cs="Times New Roman"/>
                <w:sz w:val="24"/>
                <w:szCs w:val="24"/>
              </w:rPr>
              <w:t>医学影像学</w:t>
            </w:r>
            <w:r>
              <w:rPr>
                <w:rFonts w:hint="eastAsia" w:ascii="仿宋" w:hAnsi="仿宋" w:eastAsia="仿宋" w:cs="Times New Roman"/>
                <w:sz w:val="24"/>
                <w:szCs w:val="24"/>
              </w:rPr>
              <w:fldChar w:fldCharType="end"/>
            </w:r>
            <w:r>
              <w:rPr>
                <w:rFonts w:hint="eastAsia" w:ascii="仿宋" w:hAnsi="仿宋" w:eastAsia="仿宋" w:cs="Times New Roman"/>
                <w:sz w:val="24"/>
                <w:szCs w:val="24"/>
              </w:rPr>
              <w:t>、</w:t>
            </w:r>
            <w:r>
              <w:fldChar w:fldCharType="begin"/>
            </w:r>
            <w:r>
              <w:instrText xml:space="preserve"> HYPERLINK "https://www.baidu.com/s?wd=%E5%8C%BB%E5%AD%A6%E6%A3%80%E9%AA%8C&amp;tn=SE_PcZhidaonwhc_ngpagmjz&amp;rsv_dl=gh_pc_zhidao" \t "_blank" </w:instrText>
            </w:r>
            <w:r>
              <w:fldChar w:fldCharType="separate"/>
            </w:r>
            <w:r>
              <w:rPr>
                <w:rFonts w:hint="eastAsia" w:ascii="仿宋" w:hAnsi="仿宋" w:eastAsia="仿宋" w:cs="Times New Roman"/>
                <w:sz w:val="24"/>
                <w:szCs w:val="24"/>
              </w:rPr>
              <w:t>医学检验</w:t>
            </w:r>
            <w:r>
              <w:rPr>
                <w:rFonts w:hint="eastAsia" w:ascii="仿宋" w:hAnsi="仿宋" w:eastAsia="仿宋" w:cs="Times New Roman"/>
                <w:sz w:val="24"/>
                <w:szCs w:val="24"/>
              </w:rPr>
              <w:fldChar w:fldCharType="end"/>
            </w:r>
            <w:r>
              <w:rPr>
                <w:rFonts w:hint="eastAsia" w:ascii="仿宋" w:hAnsi="仿宋" w:eastAsia="仿宋" w:cs="Times New Roman"/>
                <w:sz w:val="24"/>
                <w:szCs w:val="24"/>
              </w:rPr>
              <w:t>、法医学、口腔医学、预防医学、药学、护理学、康复治疗学、公共事业管理（卫生事业管理方向）、劳动与社会保障（医疗保险方向）、法学（医事法学方向）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1810" w:type="dxa"/>
            <w:vAlign w:val="center"/>
          </w:tcPr>
          <w:p>
            <w:pPr>
              <w:widowControl/>
              <w:tabs>
                <w:tab w:val="left" w:pos="435"/>
              </w:tabs>
              <w:spacing w:line="400" w:lineRule="exact"/>
              <w:jc w:val="center"/>
              <w:rPr>
                <w:rFonts w:ascii="仿宋" w:hAnsi="仿宋" w:eastAsia="仿宋" w:cs="Times New Roman"/>
                <w:color w:val="2B2B2B"/>
                <w:sz w:val="24"/>
                <w:szCs w:val="24"/>
              </w:rPr>
            </w:pPr>
            <w:r>
              <w:rPr>
                <w:rFonts w:hint="eastAsia" w:ascii="仿宋" w:hAnsi="仿宋" w:eastAsia="仿宋" w:cs="Times New Roman"/>
                <w:color w:val="2B2B2B"/>
                <w:sz w:val="24"/>
                <w:szCs w:val="24"/>
              </w:rPr>
              <w:t>机关辅助岗位（3）</w:t>
            </w:r>
          </w:p>
        </w:tc>
        <w:tc>
          <w:tcPr>
            <w:tcW w:w="1260" w:type="dxa"/>
            <w:vAlign w:val="center"/>
          </w:tcPr>
          <w:p>
            <w:pPr>
              <w:widowControl/>
              <w:tabs>
                <w:tab w:val="left" w:pos="435"/>
              </w:tabs>
              <w:spacing w:line="400" w:lineRule="exact"/>
              <w:jc w:val="center"/>
              <w:rPr>
                <w:rFonts w:ascii="仿宋" w:hAnsi="仿宋" w:eastAsia="仿宋" w:cs="Times New Roman"/>
                <w:color w:val="2B2B2B"/>
                <w:sz w:val="24"/>
                <w:szCs w:val="24"/>
              </w:rPr>
            </w:pPr>
            <w:r>
              <w:rPr>
                <w:rFonts w:hint="eastAsia" w:ascii="仿宋" w:hAnsi="仿宋" w:eastAsia="仿宋" w:cs="仿宋"/>
                <w:color w:val="2B2B2B"/>
                <w:sz w:val="24"/>
                <w:szCs w:val="24"/>
              </w:rPr>
              <w:t>3人</w:t>
            </w:r>
          </w:p>
        </w:tc>
        <w:tc>
          <w:tcPr>
            <w:tcW w:w="1433" w:type="dxa"/>
            <w:vAlign w:val="center"/>
          </w:tcPr>
          <w:p>
            <w:pPr>
              <w:widowControl/>
              <w:tabs>
                <w:tab w:val="left" w:pos="435"/>
              </w:tabs>
              <w:spacing w:line="400" w:lineRule="exact"/>
              <w:jc w:val="center"/>
              <w:rPr>
                <w:rFonts w:ascii="仿宋" w:hAnsi="仿宋" w:eastAsia="仿宋" w:cs="Times New Roman"/>
                <w:color w:val="2B2B2B"/>
                <w:sz w:val="24"/>
                <w:szCs w:val="24"/>
              </w:rPr>
            </w:pPr>
            <w:r>
              <w:rPr>
                <w:rFonts w:hint="eastAsia" w:ascii="仿宋" w:hAnsi="仿宋" w:eastAsia="仿宋" w:cs="Times New Roman"/>
                <w:color w:val="2B2B2B"/>
                <w:sz w:val="24"/>
                <w:szCs w:val="24"/>
              </w:rPr>
              <w:t>大专及以上</w:t>
            </w:r>
          </w:p>
        </w:tc>
        <w:tc>
          <w:tcPr>
            <w:tcW w:w="1701" w:type="dxa"/>
            <w:vAlign w:val="center"/>
          </w:tcPr>
          <w:p>
            <w:pPr>
              <w:widowControl/>
              <w:tabs>
                <w:tab w:val="left" w:pos="435"/>
              </w:tabs>
              <w:spacing w:line="400" w:lineRule="exact"/>
              <w:jc w:val="center"/>
              <w:rPr>
                <w:rFonts w:ascii="仿宋" w:hAnsi="仿宋" w:eastAsia="仿宋" w:cs="Times New Roman"/>
                <w:sz w:val="24"/>
                <w:szCs w:val="24"/>
              </w:rPr>
            </w:pPr>
            <w:r>
              <w:rPr>
                <w:rFonts w:ascii="仿宋" w:hAnsi="仿宋" w:eastAsia="仿宋" w:cs="仿宋"/>
                <w:sz w:val="24"/>
                <w:szCs w:val="24"/>
              </w:rPr>
              <w:t>35</w:t>
            </w:r>
            <w:r>
              <w:rPr>
                <w:rFonts w:hint="eastAsia" w:ascii="仿宋" w:hAnsi="仿宋" w:eastAsia="仿宋" w:cs="仿宋"/>
                <w:sz w:val="24"/>
                <w:szCs w:val="24"/>
              </w:rPr>
              <w:t>周岁以下</w:t>
            </w:r>
          </w:p>
        </w:tc>
        <w:tc>
          <w:tcPr>
            <w:tcW w:w="3169" w:type="dxa"/>
            <w:vAlign w:val="center"/>
          </w:tcPr>
          <w:p>
            <w:pPr>
              <w:spacing w:line="320" w:lineRule="exact"/>
              <w:rPr>
                <w:rFonts w:ascii="仿宋" w:hAnsi="仿宋" w:eastAsia="仿宋" w:cs="Times New Roman"/>
                <w:sz w:val="24"/>
                <w:szCs w:val="24"/>
              </w:rPr>
            </w:pPr>
            <w:r>
              <w:rPr>
                <w:rFonts w:hint="eastAsia" w:ascii="仿宋" w:hAnsi="仿宋" w:eastAsia="仿宋" w:cs="Times New Roman"/>
                <w:sz w:val="24"/>
                <w:szCs w:val="24"/>
              </w:rPr>
              <w:t>不限</w:t>
            </w:r>
          </w:p>
        </w:tc>
      </w:tr>
    </w:tbl>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1921BD"/>
    <w:rsid w:val="72192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2019-10-15T02:35:00Z</dcterms:created>
  <dc:creator>rcsc</dc:creator>
  <cp:lastModifiedBy>rcsc</cp:lastModifiedBy>
  <dcterms:modified xsi:type="dcterms:W3CDTF">2019-10-15T02:37:13Z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